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  <w:lang w:val="en-US" w:eastAsia="zh-CN"/>
        </w:rPr>
        <w:t>会计</w:t>
      </w: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  <w:lang w:eastAsia="zh-CN"/>
        </w:rPr>
        <w:t>专任教师</w:t>
      </w: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（岗位</w:t>
      </w: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  <w:lang w:val="en-US" w:eastAsia="zh-CN"/>
        </w:rPr>
        <w:t>A5</w:t>
      </w: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）招聘考试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考试大纲（操作考试）</w:t>
      </w:r>
    </w:p>
    <w:p>
      <w:pPr>
        <w:jc w:val="both"/>
        <w:rPr>
          <w:rFonts w:hint="eastAsia" w:ascii="仿宋" w:hAnsi="仿宋" w:eastAsia="仿宋" w:cs="仿宋"/>
          <w:bCs/>
          <w:sz w:val="28"/>
          <w:szCs w:val="28"/>
        </w:rPr>
      </w:pPr>
    </w:p>
    <w:p>
      <w:pPr>
        <w:ind w:firstLine="560"/>
        <w:jc w:val="both"/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会计专业技能操作考试，采用模拟小型企业日常经济业务方式，要求考生按照会计工作规范，进行证、账、表的会计处理，按照给定的企业财务资料内容要求，提交相应的证、账、表等手工做账技能操作考试结果。具体内容和要求如下：</w:t>
      </w:r>
    </w:p>
    <w:p>
      <w:pPr>
        <w:ind w:firstLine="560"/>
        <w:jc w:val="both"/>
        <w:rPr>
          <w:rFonts w:hint="eastAsia" w:ascii="黑体" w:hAnsi="黑体" w:eastAsia="黑体" w:cs="黑体"/>
          <w:bCs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Cs/>
          <w:sz w:val="28"/>
          <w:szCs w:val="28"/>
          <w:lang w:val="en-US" w:eastAsia="zh-CN"/>
        </w:rPr>
        <w:t>一、考试内容</w:t>
      </w:r>
    </w:p>
    <w:p>
      <w:pPr>
        <w:ind w:firstLine="560"/>
        <w:jc w:val="both"/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（一）原始凭证阅读、填写和审核（占比约10%）</w:t>
      </w:r>
    </w:p>
    <w:p>
      <w:pPr>
        <w:ind w:firstLine="560"/>
        <w:jc w:val="both"/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1.支票的填写、签单及联次的使用；</w:t>
      </w:r>
    </w:p>
    <w:p>
      <w:pPr>
        <w:ind w:firstLine="560"/>
        <w:jc w:val="both"/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2.收据的填写、签名（章）及联次的使用；</w:t>
      </w:r>
    </w:p>
    <w:p>
      <w:pPr>
        <w:ind w:firstLine="560"/>
        <w:jc w:val="both"/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3.银行进账单的填写及联次的使用；</w:t>
      </w:r>
    </w:p>
    <w:p>
      <w:pPr>
        <w:ind w:firstLine="560"/>
        <w:jc w:val="both"/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4.现金缴款单的填写及使用；</w:t>
      </w:r>
    </w:p>
    <w:p>
      <w:pPr>
        <w:ind w:firstLine="560"/>
        <w:jc w:val="both"/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5.发票、收据、费用报销单、差旅费报销单、收料凭证、领料凭证、产品进、出库凭证等原始凭证的合法性、正确性和完整性审核。</w:t>
      </w:r>
    </w:p>
    <w:p>
      <w:pPr>
        <w:ind w:firstLine="560"/>
        <w:jc w:val="both"/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（二）记账凭证的填制和审核（占比约40%）</w:t>
      </w:r>
    </w:p>
    <w:p>
      <w:pPr>
        <w:ind w:firstLine="560"/>
        <w:jc w:val="both"/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1.根据经定的原始凭证，编制记账凭证；</w:t>
      </w:r>
    </w:p>
    <w:p>
      <w:pPr>
        <w:ind w:firstLine="560"/>
        <w:jc w:val="both"/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2.记账凭证附件的审阅；</w:t>
      </w:r>
    </w:p>
    <w:p>
      <w:pPr>
        <w:ind w:firstLine="560"/>
        <w:jc w:val="both"/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3.记账凭证编号；</w:t>
      </w:r>
    </w:p>
    <w:p>
      <w:pPr>
        <w:ind w:firstLine="560"/>
        <w:jc w:val="both"/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4.根据编制的记账凭证，汇总编制科目汇总表；</w:t>
      </w:r>
    </w:p>
    <w:p>
      <w:pPr>
        <w:ind w:firstLine="560"/>
        <w:jc w:val="both"/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5.记账凭证的审核。</w:t>
      </w:r>
    </w:p>
    <w:p>
      <w:pPr>
        <w:ind w:firstLine="560"/>
        <w:jc w:val="both"/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（三）账簿的设置、登记、对账和结账（包括根据各种账簿特点进行日结、月结和年结）（占比约40%）</w:t>
      </w:r>
    </w:p>
    <w:p>
      <w:pPr>
        <w:ind w:firstLine="560"/>
        <w:jc w:val="both"/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1.现金、银行存款日记账的设置、登记、对账和结账；</w:t>
      </w:r>
    </w:p>
    <w:p>
      <w:pPr>
        <w:ind w:firstLine="560"/>
        <w:jc w:val="both"/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2.应收账款、应付账款等明细分类账设置、登记、对账和结账；</w:t>
      </w:r>
    </w:p>
    <w:p>
      <w:pPr>
        <w:ind w:firstLine="560"/>
        <w:jc w:val="both"/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3.主营业务收入、主营业务成本、管理费用等明细分类账的设置、登记、对账和结账；</w:t>
      </w:r>
    </w:p>
    <w:p>
      <w:pPr>
        <w:ind w:firstLine="560"/>
        <w:jc w:val="both"/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4.原材料、库存商品等明细分类账设置、登记、对账和结账；</w:t>
      </w:r>
    </w:p>
    <w:p>
      <w:pPr>
        <w:ind w:firstLine="560"/>
        <w:jc w:val="both"/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5.总分类账设置、登记、对账和结账；</w:t>
      </w:r>
    </w:p>
    <w:p>
      <w:pPr>
        <w:ind w:firstLine="560"/>
        <w:jc w:val="both"/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6.登记账簿时在相应记账凭证上标记、签名；</w:t>
      </w:r>
    </w:p>
    <w:p>
      <w:pPr>
        <w:ind w:firstLine="560"/>
        <w:jc w:val="both"/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7.编制银行存款余额调节表。</w:t>
      </w:r>
    </w:p>
    <w:p>
      <w:pPr>
        <w:ind w:firstLine="560"/>
        <w:jc w:val="both"/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（四）会计报表的编制（占比约10%）</w:t>
      </w:r>
    </w:p>
    <w:p>
      <w:pPr>
        <w:ind w:firstLine="560"/>
        <w:jc w:val="both"/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1.资产负债表的编制；</w:t>
      </w:r>
    </w:p>
    <w:p>
      <w:pPr>
        <w:ind w:firstLine="560"/>
        <w:jc w:val="both"/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2.利润表的编制。</w:t>
      </w:r>
    </w:p>
    <w:p>
      <w:pPr>
        <w:ind w:firstLine="560"/>
        <w:jc w:val="both"/>
        <w:rPr>
          <w:rFonts w:hint="eastAsia" w:ascii="黑体" w:hAnsi="黑体" w:eastAsia="黑体" w:cs="黑体"/>
          <w:bCs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Cs/>
          <w:sz w:val="28"/>
          <w:szCs w:val="28"/>
          <w:lang w:val="en-US" w:eastAsia="zh-CN"/>
        </w:rPr>
        <w:t>二、考试要求</w:t>
      </w:r>
    </w:p>
    <w:p>
      <w:pPr>
        <w:ind w:firstLine="560"/>
        <w:jc w:val="both"/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以手工会计操作流程方式，呈现会计技能操作考试。实操内容涵盖凭证处理、账簿处理、报表处理三大部分。</w:t>
      </w:r>
    </w:p>
    <w:p>
      <w:pPr>
        <w:ind w:firstLine="560"/>
        <w:jc w:val="both"/>
        <w:rPr>
          <w:rFonts w:hint="eastAsia" w:ascii="黑体" w:hAnsi="黑体" w:eastAsia="黑体" w:cs="黑体"/>
          <w:bCs/>
          <w:sz w:val="28"/>
          <w:szCs w:val="28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bCs/>
          <w:sz w:val="28"/>
          <w:szCs w:val="28"/>
          <w:lang w:val="en-US" w:eastAsia="zh-CN"/>
        </w:rPr>
        <w:t>三、考试时间</w:t>
      </w:r>
    </w:p>
    <w:bookmarkEnd w:id="0"/>
    <w:p>
      <w:pPr>
        <w:ind w:firstLine="560"/>
        <w:jc w:val="both"/>
        <w:rPr>
          <w:rFonts w:hint="default" w:ascii="仿宋" w:hAnsi="仿宋" w:eastAsia="仿宋" w:cs="仿宋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150分钟</w:t>
      </w:r>
    </w:p>
    <w:p>
      <w:pPr>
        <w:ind w:firstLine="560"/>
        <w:jc w:val="both"/>
        <w:rPr>
          <w:rFonts w:hint="default" w:ascii="仿宋" w:hAnsi="仿宋" w:eastAsia="仿宋" w:cs="仿宋"/>
          <w:bCs/>
          <w:sz w:val="28"/>
          <w:szCs w:val="28"/>
          <w:lang w:val="en-US" w:eastAsia="zh-CN"/>
        </w:rPr>
      </w:pPr>
    </w:p>
    <w:p>
      <w:pPr>
        <w:jc w:val="both"/>
        <w:rPr>
          <w:rFonts w:hint="eastAsia" w:ascii="方正小标宋简体" w:hAnsi="方正小标宋简体" w:eastAsia="方正小标宋简体" w:cs="方正小标宋简体"/>
          <w:bCs/>
          <w:sz w:val="36"/>
          <w:szCs w:val="36"/>
          <w:lang w:eastAsia="zh-CN"/>
        </w:rPr>
      </w:pPr>
    </w:p>
    <w:p>
      <w:pPr>
        <w:rPr>
          <w:rFonts w:ascii="仿宋_GB2312" w:hAnsi="仿宋_GB2312" w:eastAsia="仿宋_GB2312" w:cs="仿宋_GB2312"/>
          <w:bCs/>
          <w:color w:val="2B2B2B"/>
          <w:sz w:val="28"/>
          <w:szCs w:val="28"/>
          <w:shd w:val="clear" w:color="auto" w:fill="FFFFFF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B8035D5-4968-48E8-825C-93EA8A74651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1C53DE97-6D35-4588-9CE2-5F885B3411EE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BC523E3E-31DA-4AEC-BBD0-94245679B66B}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  <w:embedRegular r:id="rId4" w:fontKey="{53ED470F-5AE7-47CD-B397-0540C86EA49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6CFB2229"/>
    <w:rsid w:val="00004318"/>
    <w:rsid w:val="00006052"/>
    <w:rsid w:val="000202DB"/>
    <w:rsid w:val="00024242"/>
    <w:rsid w:val="00045B3B"/>
    <w:rsid w:val="000933B6"/>
    <w:rsid w:val="000939C6"/>
    <w:rsid w:val="001077E0"/>
    <w:rsid w:val="00153BB2"/>
    <w:rsid w:val="001C0FC4"/>
    <w:rsid w:val="001D07FB"/>
    <w:rsid w:val="001F5F03"/>
    <w:rsid w:val="00264BA0"/>
    <w:rsid w:val="00266C7A"/>
    <w:rsid w:val="00277DE4"/>
    <w:rsid w:val="002F739E"/>
    <w:rsid w:val="003110F0"/>
    <w:rsid w:val="00340C2B"/>
    <w:rsid w:val="00343E39"/>
    <w:rsid w:val="00395582"/>
    <w:rsid w:val="0039758C"/>
    <w:rsid w:val="003A588A"/>
    <w:rsid w:val="003B404C"/>
    <w:rsid w:val="003E389C"/>
    <w:rsid w:val="003E6184"/>
    <w:rsid w:val="0045140E"/>
    <w:rsid w:val="00457A5D"/>
    <w:rsid w:val="00461450"/>
    <w:rsid w:val="004A72E8"/>
    <w:rsid w:val="004E58B4"/>
    <w:rsid w:val="004E6B83"/>
    <w:rsid w:val="004E74A7"/>
    <w:rsid w:val="005454AC"/>
    <w:rsid w:val="005775B7"/>
    <w:rsid w:val="005859A8"/>
    <w:rsid w:val="00662545"/>
    <w:rsid w:val="0067761B"/>
    <w:rsid w:val="006A6076"/>
    <w:rsid w:val="006F547A"/>
    <w:rsid w:val="0070323D"/>
    <w:rsid w:val="007217F8"/>
    <w:rsid w:val="00774B85"/>
    <w:rsid w:val="00784B73"/>
    <w:rsid w:val="007A4609"/>
    <w:rsid w:val="007B4ED5"/>
    <w:rsid w:val="007C4048"/>
    <w:rsid w:val="007E3681"/>
    <w:rsid w:val="00855BDB"/>
    <w:rsid w:val="009323C8"/>
    <w:rsid w:val="009E10A5"/>
    <w:rsid w:val="009F69A5"/>
    <w:rsid w:val="00A622D1"/>
    <w:rsid w:val="00A8216D"/>
    <w:rsid w:val="00AC6F35"/>
    <w:rsid w:val="00B06484"/>
    <w:rsid w:val="00B15D89"/>
    <w:rsid w:val="00B209D9"/>
    <w:rsid w:val="00B33F3F"/>
    <w:rsid w:val="00B442CE"/>
    <w:rsid w:val="00BF5BDD"/>
    <w:rsid w:val="00C16087"/>
    <w:rsid w:val="00C4205D"/>
    <w:rsid w:val="00C84E65"/>
    <w:rsid w:val="00CB7477"/>
    <w:rsid w:val="00D0158D"/>
    <w:rsid w:val="00D07308"/>
    <w:rsid w:val="00D42244"/>
    <w:rsid w:val="00D55AE0"/>
    <w:rsid w:val="00D65C83"/>
    <w:rsid w:val="00D93667"/>
    <w:rsid w:val="00E26F53"/>
    <w:rsid w:val="00E33FF0"/>
    <w:rsid w:val="00E55F8E"/>
    <w:rsid w:val="00E57868"/>
    <w:rsid w:val="00E93655"/>
    <w:rsid w:val="00ED500C"/>
    <w:rsid w:val="00F05ECF"/>
    <w:rsid w:val="00F30C39"/>
    <w:rsid w:val="00F42277"/>
    <w:rsid w:val="00F75270"/>
    <w:rsid w:val="00FB0B74"/>
    <w:rsid w:val="00FD5F78"/>
    <w:rsid w:val="00FF672B"/>
    <w:rsid w:val="04C45682"/>
    <w:rsid w:val="11A44D22"/>
    <w:rsid w:val="1460490D"/>
    <w:rsid w:val="1A110F12"/>
    <w:rsid w:val="1B9C2AA9"/>
    <w:rsid w:val="22133E8F"/>
    <w:rsid w:val="28494C7C"/>
    <w:rsid w:val="2B2900B5"/>
    <w:rsid w:val="3ECB56A0"/>
    <w:rsid w:val="3F87679D"/>
    <w:rsid w:val="492E1AC3"/>
    <w:rsid w:val="4E2A3068"/>
    <w:rsid w:val="4FA16976"/>
    <w:rsid w:val="50104AED"/>
    <w:rsid w:val="519D37CB"/>
    <w:rsid w:val="53E75420"/>
    <w:rsid w:val="57D678F3"/>
    <w:rsid w:val="5B125BD1"/>
    <w:rsid w:val="5BC21CFF"/>
    <w:rsid w:val="5DC6470A"/>
    <w:rsid w:val="5EB01DDE"/>
    <w:rsid w:val="60E95CA1"/>
    <w:rsid w:val="65E00D67"/>
    <w:rsid w:val="6807688F"/>
    <w:rsid w:val="6CFB2229"/>
    <w:rsid w:val="6F875643"/>
    <w:rsid w:val="6FAC25B7"/>
    <w:rsid w:val="74C577E7"/>
    <w:rsid w:val="77E24A27"/>
    <w:rsid w:val="7C5C432A"/>
    <w:rsid w:val="7F600B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spacing w:before="100" w:beforeAutospacing="1" w:after="100" w:afterAutospacing="1"/>
      <w:jc w:val="left"/>
      <w:outlineLvl w:val="1"/>
    </w:pPr>
    <w:rPr>
      <w:rFonts w:hint="eastAsia" w:ascii="宋体" w:hAnsi="宋体"/>
      <w:b/>
      <w:kern w:val="0"/>
      <w:sz w:val="36"/>
      <w:szCs w:val="36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HTML Preformatted"/>
    <w:basedOn w:val="1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table" w:styleId="7">
    <w:name w:val="Table Grid"/>
    <w:basedOn w:val="6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Hyperlink"/>
    <w:qFormat/>
    <w:uiPriority w:val="0"/>
    <w:rPr>
      <w:color w:val="0000FF"/>
      <w:u w:val="single"/>
    </w:rPr>
  </w:style>
  <w:style w:type="character" w:customStyle="1" w:styleId="10">
    <w:name w:val="页眉 Char"/>
    <w:link w:val="4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1">
    <w:name w:val="页脚 Char"/>
    <w:link w:val="3"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57</Words>
  <Characters>328</Characters>
  <Lines>2</Lines>
  <Paragraphs>1</Paragraphs>
  <TotalTime>18</TotalTime>
  <ScaleCrop>false</ScaleCrop>
  <LinksUpToDate>false</LinksUpToDate>
  <CharactersWithSpaces>384</CharactersWithSpaces>
  <Application>WPS Office_11.1.0.11435_F1E327BC-269C-435d-A152-05C5408002CA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2020-07-28T10:22:00Z</dcterms:created>
  <dc:creator>黑胡子</dc:creator>
  <cp:lastModifiedBy>谢旭</cp:lastModifiedBy>
  <dcterms:modified xsi:type="dcterms:W3CDTF">2022-07-05T09:46:41Z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2052-11.1.0.11435</vt:lpwstr>
  </property>
  <property fmtid="{D5CDD505-2E9C-101B-9397-08002B2CF9AE}" pid="3" name="ICV">
    <vt:lpwstr>1F197E18A9AE4EB99ED869D1D28F7AEF</vt:lpwstr>
  </property>
</Properties>
</file>